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929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C40DFF" w:rsidRPr="00AA0119" w14:paraId="43E60AB6" w14:textId="77777777" w:rsidTr="000264DE">
        <w:tc>
          <w:tcPr>
            <w:tcW w:w="1838" w:type="dxa"/>
          </w:tcPr>
          <w:p w14:paraId="41C8EAC2" w14:textId="77777777" w:rsidR="00C40DFF" w:rsidRPr="00AA0119" w:rsidRDefault="00C40DFF" w:rsidP="000264D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AA0119">
              <w:rPr>
                <w:rFonts w:cstheme="minorHAnsi"/>
                <w:b/>
                <w:bCs/>
                <w:sz w:val="32"/>
                <w:szCs w:val="32"/>
              </w:rPr>
              <w:t>Subject</w:t>
            </w:r>
          </w:p>
        </w:tc>
        <w:tc>
          <w:tcPr>
            <w:tcW w:w="8647" w:type="dxa"/>
          </w:tcPr>
          <w:p w14:paraId="53E2EE8A" w14:textId="77777777" w:rsidR="00C40DFF" w:rsidRPr="00AA0119" w:rsidRDefault="00C40DFF" w:rsidP="000264DE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Cambridge National Level 1/Level 2Health and Social Care</w:t>
            </w:r>
          </w:p>
        </w:tc>
      </w:tr>
      <w:tr w:rsidR="00C40DFF" w:rsidRPr="00AA0119" w14:paraId="08FDFC03" w14:textId="77777777" w:rsidTr="000264DE">
        <w:tc>
          <w:tcPr>
            <w:tcW w:w="1838" w:type="dxa"/>
          </w:tcPr>
          <w:p w14:paraId="6B35B524" w14:textId="77777777" w:rsidR="00C40DFF" w:rsidRPr="00AA0119" w:rsidRDefault="00C40DFF" w:rsidP="000264D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AA0119">
              <w:rPr>
                <w:rFonts w:cstheme="minorHAnsi"/>
                <w:b/>
                <w:bCs/>
                <w:sz w:val="32"/>
                <w:szCs w:val="32"/>
              </w:rPr>
              <w:t>Paper Title</w:t>
            </w:r>
          </w:p>
        </w:tc>
        <w:tc>
          <w:tcPr>
            <w:tcW w:w="8647" w:type="dxa"/>
          </w:tcPr>
          <w:p w14:paraId="06731BCB" w14:textId="77777777" w:rsidR="00C40DFF" w:rsidRPr="00AA0119" w:rsidRDefault="00C40DFF" w:rsidP="000264DE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Principles of Care in Health and Social Care Settings</w:t>
            </w:r>
          </w:p>
        </w:tc>
      </w:tr>
      <w:tr w:rsidR="00C40DFF" w:rsidRPr="00AA0119" w14:paraId="49141006" w14:textId="77777777" w:rsidTr="000264DE">
        <w:tc>
          <w:tcPr>
            <w:tcW w:w="1838" w:type="dxa"/>
          </w:tcPr>
          <w:p w14:paraId="12B9BA96" w14:textId="77777777" w:rsidR="00C40DFF" w:rsidRPr="00AA0119" w:rsidRDefault="00C40DFF" w:rsidP="000264DE">
            <w:pPr>
              <w:rPr>
                <w:rFonts w:cstheme="minorHAnsi"/>
                <w:b/>
                <w:bCs/>
                <w:sz w:val="32"/>
                <w:szCs w:val="32"/>
              </w:rPr>
            </w:pPr>
            <w:r w:rsidRPr="00AA0119">
              <w:rPr>
                <w:rFonts w:cstheme="minorHAnsi"/>
                <w:b/>
                <w:bCs/>
                <w:sz w:val="32"/>
                <w:szCs w:val="32"/>
              </w:rPr>
              <w:t>Exam board</w:t>
            </w:r>
          </w:p>
        </w:tc>
        <w:tc>
          <w:tcPr>
            <w:tcW w:w="8647" w:type="dxa"/>
          </w:tcPr>
          <w:p w14:paraId="7A37C882" w14:textId="77777777" w:rsidR="00C40DFF" w:rsidRPr="00AA0119" w:rsidRDefault="00C40DFF" w:rsidP="000264DE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OCR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909"/>
        <w:tblW w:w="10485" w:type="dxa"/>
        <w:tblLook w:val="04A0" w:firstRow="1" w:lastRow="0" w:firstColumn="1" w:lastColumn="0" w:noHBand="0" w:noVBand="1"/>
      </w:tblPr>
      <w:tblGrid>
        <w:gridCol w:w="7083"/>
        <w:gridCol w:w="2217"/>
        <w:gridCol w:w="395"/>
        <w:gridCol w:w="395"/>
        <w:gridCol w:w="395"/>
      </w:tblGrid>
      <w:tr w:rsidR="00C40DFF" w:rsidRPr="006531E0" w14:paraId="55BDC680" w14:textId="77777777" w:rsidTr="00DA209E">
        <w:tc>
          <w:tcPr>
            <w:tcW w:w="7083" w:type="dxa"/>
            <w:shd w:val="clear" w:color="auto" w:fill="D9D9D9" w:themeFill="background1" w:themeFillShade="D9"/>
          </w:tcPr>
          <w:p w14:paraId="2EC4CF5A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531E0">
              <w:rPr>
                <w:rFonts w:cstheme="minorHAnsi"/>
                <w:b/>
                <w:bCs/>
                <w:sz w:val="24"/>
                <w:szCs w:val="24"/>
              </w:rPr>
              <w:t>Specification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4F5383D7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531E0">
              <w:rPr>
                <w:rFonts w:cstheme="minorHAnsi"/>
                <w:b/>
                <w:bCs/>
                <w:sz w:val="24"/>
                <w:szCs w:val="24"/>
              </w:rPr>
              <w:t>Revision guide pages</w:t>
            </w:r>
          </w:p>
        </w:tc>
        <w:tc>
          <w:tcPr>
            <w:tcW w:w="395" w:type="dxa"/>
            <w:shd w:val="clear" w:color="auto" w:fill="D9D9D9" w:themeFill="background1" w:themeFillShade="D9"/>
          </w:tcPr>
          <w:p w14:paraId="51F5A845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531E0">
              <w:rPr>
                <w:rFonts w:cstheme="minorHAns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95" w:type="dxa"/>
            <w:shd w:val="clear" w:color="auto" w:fill="D9D9D9" w:themeFill="background1" w:themeFillShade="D9"/>
          </w:tcPr>
          <w:p w14:paraId="58453EC0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531E0">
              <w:rPr>
                <w:rFonts w:cstheme="minorHAns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5" w:type="dxa"/>
            <w:shd w:val="clear" w:color="auto" w:fill="D9D9D9" w:themeFill="background1" w:themeFillShade="D9"/>
          </w:tcPr>
          <w:p w14:paraId="738523DD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531E0">
              <w:rPr>
                <w:rFonts w:cstheme="minorHAnsi"/>
                <w:b/>
                <w:bCs/>
                <w:sz w:val="24"/>
                <w:szCs w:val="24"/>
              </w:rPr>
              <w:t>G</w:t>
            </w:r>
          </w:p>
        </w:tc>
      </w:tr>
      <w:tr w:rsidR="00C40DFF" w:rsidRPr="006531E0" w14:paraId="7E5AD086" w14:textId="77777777" w:rsidTr="00DA209E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6C750805" w14:textId="77777777" w:rsidR="00C40DFF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C19AC1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1: The rights of service users in health and social care settings</w:t>
            </w:r>
          </w:p>
        </w:tc>
      </w:tr>
      <w:tr w:rsidR="00C40DFF" w:rsidRPr="006531E0" w14:paraId="7D13307D" w14:textId="77777777" w:rsidTr="00DA209E">
        <w:tc>
          <w:tcPr>
            <w:tcW w:w="7083" w:type="dxa"/>
          </w:tcPr>
          <w:p w14:paraId="7CFEB2E4" w14:textId="77777777" w:rsidR="00C40DFF" w:rsidRPr="00C40DFF" w:rsidRDefault="00C40DFF" w:rsidP="00DA209E">
            <w:pPr>
              <w:rPr>
                <w:rFonts w:cstheme="minorHAnsi"/>
                <w:sz w:val="24"/>
                <w:szCs w:val="24"/>
              </w:rPr>
            </w:pPr>
            <w:r w:rsidRPr="00C40DFF">
              <w:rPr>
                <w:rFonts w:cstheme="minorHAnsi"/>
                <w:sz w:val="24"/>
                <w:szCs w:val="24"/>
              </w:rPr>
              <w:t>1.1 Types of care settings</w:t>
            </w:r>
          </w:p>
        </w:tc>
        <w:tc>
          <w:tcPr>
            <w:tcW w:w="2217" w:type="dxa"/>
          </w:tcPr>
          <w:p w14:paraId="5221CBBD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and 21</w:t>
            </w:r>
          </w:p>
        </w:tc>
        <w:tc>
          <w:tcPr>
            <w:tcW w:w="395" w:type="dxa"/>
          </w:tcPr>
          <w:p w14:paraId="7591F5B0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7B8B4D95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2A2C35A8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23ECBB93" w14:textId="77777777" w:rsidTr="00DA209E">
        <w:tc>
          <w:tcPr>
            <w:tcW w:w="7083" w:type="dxa"/>
          </w:tcPr>
          <w:p w14:paraId="64383008" w14:textId="77777777" w:rsidR="00C40DFF" w:rsidRPr="00C40DFF" w:rsidRDefault="00C40DFF" w:rsidP="00DA209E">
            <w:pPr>
              <w:tabs>
                <w:tab w:val="left" w:pos="1635"/>
              </w:tabs>
              <w:rPr>
                <w:rFonts w:cstheme="minorHAnsi"/>
                <w:sz w:val="24"/>
                <w:szCs w:val="24"/>
              </w:rPr>
            </w:pPr>
            <w:r w:rsidRPr="00C40DFF">
              <w:rPr>
                <w:rFonts w:cstheme="minorHAnsi"/>
                <w:sz w:val="24"/>
                <w:szCs w:val="24"/>
              </w:rPr>
              <w:t>1.2 The rights of service users</w:t>
            </w:r>
          </w:p>
        </w:tc>
        <w:tc>
          <w:tcPr>
            <w:tcW w:w="2217" w:type="dxa"/>
          </w:tcPr>
          <w:p w14:paraId="5A97903A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22 - 26</w:t>
            </w:r>
          </w:p>
        </w:tc>
        <w:tc>
          <w:tcPr>
            <w:tcW w:w="395" w:type="dxa"/>
          </w:tcPr>
          <w:p w14:paraId="0384DB70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AE30D6A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386580E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3ABD27EC" w14:textId="77777777" w:rsidTr="00DA209E">
        <w:tc>
          <w:tcPr>
            <w:tcW w:w="7083" w:type="dxa"/>
          </w:tcPr>
          <w:p w14:paraId="4BE4A981" w14:textId="77777777" w:rsidR="00C40DFF" w:rsidRPr="00C40DFF" w:rsidRDefault="00C40DFF" w:rsidP="00DA209E">
            <w:pPr>
              <w:rPr>
                <w:rFonts w:cstheme="minorHAnsi"/>
                <w:sz w:val="24"/>
                <w:szCs w:val="24"/>
              </w:rPr>
            </w:pPr>
            <w:r w:rsidRPr="00C40DFF">
              <w:rPr>
                <w:rFonts w:cstheme="minorHAnsi"/>
                <w:sz w:val="24"/>
                <w:szCs w:val="24"/>
              </w:rPr>
              <w:t>1.3 The benefits to service users’ health and wellbeing when their rights are maintained</w:t>
            </w:r>
          </w:p>
        </w:tc>
        <w:tc>
          <w:tcPr>
            <w:tcW w:w="2217" w:type="dxa"/>
          </w:tcPr>
          <w:p w14:paraId="1E478F0F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27 - 30</w:t>
            </w:r>
          </w:p>
        </w:tc>
        <w:tc>
          <w:tcPr>
            <w:tcW w:w="395" w:type="dxa"/>
          </w:tcPr>
          <w:p w14:paraId="3A47FA15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7651C3FA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39D8518C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02DCFF08" w14:textId="77777777" w:rsidTr="00DA209E">
        <w:trPr>
          <w:trHeight w:val="596"/>
        </w:trPr>
        <w:tc>
          <w:tcPr>
            <w:tcW w:w="10485" w:type="dxa"/>
            <w:gridSpan w:val="5"/>
            <w:shd w:val="clear" w:color="auto" w:fill="D9D9D9" w:themeFill="background1" w:themeFillShade="D9"/>
          </w:tcPr>
          <w:p w14:paraId="05B16E31" w14:textId="77777777" w:rsidR="00C40DFF" w:rsidRPr="006531E0" w:rsidRDefault="00C40DFF" w:rsidP="00DA20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2: Person-centred values</w:t>
            </w:r>
          </w:p>
        </w:tc>
      </w:tr>
      <w:tr w:rsidR="00C40DFF" w:rsidRPr="006531E0" w14:paraId="4A6A81CB" w14:textId="77777777" w:rsidTr="00DA209E">
        <w:tc>
          <w:tcPr>
            <w:tcW w:w="7083" w:type="dxa"/>
          </w:tcPr>
          <w:p w14:paraId="73309657" w14:textId="77777777" w:rsidR="00C40DFF" w:rsidRPr="00C40DFF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C40DFF">
              <w:rPr>
                <w:rFonts w:eastAsia="ArialMT" w:cstheme="minorHAnsi"/>
                <w:sz w:val="24"/>
                <w:szCs w:val="24"/>
              </w:rPr>
              <w:t>2.1a Person-centred values and how they are applied by service providers</w:t>
            </w:r>
          </w:p>
        </w:tc>
        <w:tc>
          <w:tcPr>
            <w:tcW w:w="2217" w:type="dxa"/>
          </w:tcPr>
          <w:p w14:paraId="2A048FE7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31 - 39</w:t>
            </w:r>
          </w:p>
        </w:tc>
        <w:tc>
          <w:tcPr>
            <w:tcW w:w="395" w:type="dxa"/>
          </w:tcPr>
          <w:p w14:paraId="0C116AE9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33F25E5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789D6CF9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22F56493" w14:textId="77777777" w:rsidTr="00DA209E">
        <w:tc>
          <w:tcPr>
            <w:tcW w:w="7083" w:type="dxa"/>
          </w:tcPr>
          <w:p w14:paraId="730233F7" w14:textId="77777777" w:rsidR="00C40DFF" w:rsidRPr="00C40DFF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C40DFF">
              <w:rPr>
                <w:rFonts w:eastAsia="ArialMT" w:cstheme="minorHAnsi"/>
                <w:sz w:val="24"/>
                <w:szCs w:val="24"/>
              </w:rPr>
              <w:t xml:space="preserve">2.1b </w:t>
            </w:r>
            <w:proofErr w:type="gramStart"/>
            <w:r w:rsidRPr="00C40DFF">
              <w:rPr>
                <w:rFonts w:eastAsia="ArialMT" w:cstheme="minorHAnsi"/>
                <w:sz w:val="24"/>
                <w:szCs w:val="24"/>
              </w:rPr>
              <w:t>The</w:t>
            </w:r>
            <w:proofErr w:type="gramEnd"/>
            <w:r w:rsidRPr="00C40DFF">
              <w:rPr>
                <w:rFonts w:eastAsia="ArialMT" w:cstheme="minorHAnsi"/>
                <w:sz w:val="24"/>
                <w:szCs w:val="24"/>
              </w:rPr>
              <w:t xml:space="preserve"> six Cs</w:t>
            </w:r>
          </w:p>
        </w:tc>
        <w:tc>
          <w:tcPr>
            <w:tcW w:w="2217" w:type="dxa"/>
          </w:tcPr>
          <w:p w14:paraId="36908829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 and 41</w:t>
            </w:r>
          </w:p>
        </w:tc>
        <w:tc>
          <w:tcPr>
            <w:tcW w:w="395" w:type="dxa"/>
          </w:tcPr>
          <w:p w14:paraId="61C4696E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470D8750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6D0CE68B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6600DF96" w14:textId="77777777" w:rsidTr="00DA209E">
        <w:tc>
          <w:tcPr>
            <w:tcW w:w="7083" w:type="dxa"/>
          </w:tcPr>
          <w:p w14:paraId="3B201B77" w14:textId="77777777" w:rsidR="00C40DFF" w:rsidRPr="00C40DFF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C40DFF">
              <w:rPr>
                <w:rFonts w:eastAsia="ArialMT" w:cstheme="minorHAnsi"/>
                <w:sz w:val="24"/>
                <w:szCs w:val="24"/>
              </w:rPr>
              <w:t>2.2 Benefits of applying person-centred values</w:t>
            </w:r>
          </w:p>
        </w:tc>
        <w:tc>
          <w:tcPr>
            <w:tcW w:w="2217" w:type="dxa"/>
          </w:tcPr>
          <w:p w14:paraId="59CA89AF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42 - 44</w:t>
            </w:r>
          </w:p>
        </w:tc>
        <w:tc>
          <w:tcPr>
            <w:tcW w:w="395" w:type="dxa"/>
          </w:tcPr>
          <w:p w14:paraId="4A10D62A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02F4F010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09AA5162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373DBC70" w14:textId="77777777" w:rsidTr="00DA209E">
        <w:tc>
          <w:tcPr>
            <w:tcW w:w="7083" w:type="dxa"/>
          </w:tcPr>
          <w:p w14:paraId="4A8E7D29" w14:textId="77777777" w:rsidR="00C40DFF" w:rsidRPr="00C40DFF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C40DFF">
              <w:rPr>
                <w:rFonts w:eastAsia="ArialMT" w:cstheme="minorHAnsi"/>
                <w:sz w:val="24"/>
                <w:szCs w:val="24"/>
              </w:rPr>
              <w:t>2.3 Effects on service users’ health and well-being if person-centred values are not applied</w:t>
            </w:r>
          </w:p>
          <w:p w14:paraId="57646C3A" w14:textId="77777777" w:rsidR="00C40DFF" w:rsidRPr="00C40DFF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</w:p>
        </w:tc>
        <w:tc>
          <w:tcPr>
            <w:tcW w:w="2217" w:type="dxa"/>
          </w:tcPr>
          <w:p w14:paraId="4298E136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 and 46</w:t>
            </w:r>
          </w:p>
        </w:tc>
        <w:tc>
          <w:tcPr>
            <w:tcW w:w="395" w:type="dxa"/>
          </w:tcPr>
          <w:p w14:paraId="7E049CEB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204EE71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623C1D52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593D2B" w14:paraId="12DC3B38" w14:textId="77777777" w:rsidTr="00DA209E">
        <w:tc>
          <w:tcPr>
            <w:tcW w:w="10485" w:type="dxa"/>
            <w:gridSpan w:val="5"/>
            <w:shd w:val="clear" w:color="auto" w:fill="BFBFBF" w:themeFill="background1" w:themeFillShade="BF"/>
          </w:tcPr>
          <w:p w14:paraId="5672F2DF" w14:textId="77777777" w:rsidR="00C40DFF" w:rsidRPr="00593D2B" w:rsidRDefault="00C40DFF" w:rsidP="00DA209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  <w:highlight w:val="lightGray"/>
              </w:rPr>
            </w:pPr>
            <w:bookmarkStart w:id="0" w:name="_Hlk178865261"/>
            <w:r w:rsidRPr="00593D2B">
              <w:rPr>
                <w:rFonts w:cstheme="minorHAnsi"/>
                <w:b/>
                <w:bCs/>
                <w:sz w:val="24"/>
                <w:szCs w:val="24"/>
                <w:highlight w:val="lightGray"/>
              </w:rPr>
              <w:t>3: Effective communication in health and social care settings</w:t>
            </w:r>
          </w:p>
        </w:tc>
      </w:tr>
      <w:bookmarkEnd w:id="0"/>
      <w:tr w:rsidR="00C40DFF" w:rsidRPr="006531E0" w14:paraId="3B4CFEE9" w14:textId="77777777" w:rsidTr="00DA209E">
        <w:tc>
          <w:tcPr>
            <w:tcW w:w="7083" w:type="dxa"/>
          </w:tcPr>
          <w:p w14:paraId="25D87D88" w14:textId="77777777" w:rsidR="00C40DFF" w:rsidRPr="006531E0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3.1 The importance of verbal communication skills in health and social care settings</w:t>
            </w:r>
          </w:p>
        </w:tc>
        <w:tc>
          <w:tcPr>
            <w:tcW w:w="2217" w:type="dxa"/>
          </w:tcPr>
          <w:p w14:paraId="7D5487FE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47 - 49</w:t>
            </w:r>
          </w:p>
        </w:tc>
        <w:tc>
          <w:tcPr>
            <w:tcW w:w="395" w:type="dxa"/>
          </w:tcPr>
          <w:p w14:paraId="2EF22751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ADB14A3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61B36C42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0869482A" w14:textId="77777777" w:rsidTr="00DA209E">
        <w:tc>
          <w:tcPr>
            <w:tcW w:w="7083" w:type="dxa"/>
          </w:tcPr>
          <w:p w14:paraId="13DC0FCE" w14:textId="77777777" w:rsidR="00C40DFF" w:rsidRPr="006531E0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3.2 The importance of non-verbal communication skills in health and social care settings</w:t>
            </w:r>
          </w:p>
        </w:tc>
        <w:tc>
          <w:tcPr>
            <w:tcW w:w="2217" w:type="dxa"/>
          </w:tcPr>
          <w:p w14:paraId="7C571F89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50 - 52</w:t>
            </w:r>
          </w:p>
        </w:tc>
        <w:tc>
          <w:tcPr>
            <w:tcW w:w="395" w:type="dxa"/>
          </w:tcPr>
          <w:p w14:paraId="3561B279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00088E6C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634C7D21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5EC6A9C5" w14:textId="77777777" w:rsidTr="00DA209E">
        <w:tc>
          <w:tcPr>
            <w:tcW w:w="7083" w:type="dxa"/>
          </w:tcPr>
          <w:p w14:paraId="4A0226F5" w14:textId="77777777" w:rsidR="00C40DFF" w:rsidRPr="006531E0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3.3 The importance of active listening in health and social care settings</w:t>
            </w:r>
          </w:p>
        </w:tc>
        <w:tc>
          <w:tcPr>
            <w:tcW w:w="2217" w:type="dxa"/>
          </w:tcPr>
          <w:p w14:paraId="4F9D6B95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 and 54</w:t>
            </w:r>
          </w:p>
        </w:tc>
        <w:tc>
          <w:tcPr>
            <w:tcW w:w="395" w:type="dxa"/>
          </w:tcPr>
          <w:p w14:paraId="65350027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3D53CDE1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530E184A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021C2843" w14:textId="77777777" w:rsidTr="00DA209E">
        <w:tc>
          <w:tcPr>
            <w:tcW w:w="7083" w:type="dxa"/>
          </w:tcPr>
          <w:p w14:paraId="066BD112" w14:textId="77777777" w:rsidR="00C40DFF" w:rsidRPr="006531E0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3.4 The importance of special methods of communication in health and social care settings</w:t>
            </w:r>
          </w:p>
        </w:tc>
        <w:tc>
          <w:tcPr>
            <w:tcW w:w="2217" w:type="dxa"/>
          </w:tcPr>
          <w:p w14:paraId="71406598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55 - 57</w:t>
            </w:r>
          </w:p>
        </w:tc>
        <w:tc>
          <w:tcPr>
            <w:tcW w:w="395" w:type="dxa"/>
          </w:tcPr>
          <w:p w14:paraId="4E86720D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6D2440D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1B896CB5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0DFF" w:rsidRPr="006531E0" w14:paraId="6191E9DC" w14:textId="77777777" w:rsidTr="00DA209E">
        <w:tc>
          <w:tcPr>
            <w:tcW w:w="7083" w:type="dxa"/>
          </w:tcPr>
          <w:p w14:paraId="0D4130EA" w14:textId="77777777" w:rsidR="00C40DFF" w:rsidRPr="006531E0" w:rsidRDefault="00C40DFF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3.5 The importance of effective communication in health and social care settings</w:t>
            </w:r>
          </w:p>
        </w:tc>
        <w:tc>
          <w:tcPr>
            <w:tcW w:w="2217" w:type="dxa"/>
          </w:tcPr>
          <w:p w14:paraId="18FE38AF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58 - 62</w:t>
            </w:r>
          </w:p>
        </w:tc>
        <w:tc>
          <w:tcPr>
            <w:tcW w:w="395" w:type="dxa"/>
          </w:tcPr>
          <w:p w14:paraId="6BD15A78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5988946E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</w:tcPr>
          <w:p w14:paraId="67B338AB" w14:textId="77777777" w:rsidR="00C40DFF" w:rsidRPr="006531E0" w:rsidRDefault="00C40DFF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6EE3" w:rsidRPr="006531E0" w14:paraId="5CD8304B" w14:textId="77777777" w:rsidTr="00924A9E">
        <w:tc>
          <w:tcPr>
            <w:tcW w:w="7083" w:type="dxa"/>
            <w:shd w:val="clear" w:color="auto" w:fill="D9D9D9" w:themeFill="background1" w:themeFillShade="D9"/>
          </w:tcPr>
          <w:p w14:paraId="2F9BEC80" w14:textId="085B92A8" w:rsidR="000B6EE3" w:rsidRPr="000B6EE3" w:rsidRDefault="000B6EE3" w:rsidP="00DA209E">
            <w:pPr>
              <w:rPr>
                <w:rFonts w:eastAsia="ArialMT" w:cstheme="minorHAnsi"/>
                <w:b/>
                <w:bCs/>
                <w:sz w:val="24"/>
                <w:szCs w:val="24"/>
              </w:rPr>
            </w:pPr>
            <w:r>
              <w:rPr>
                <w:rFonts w:eastAsia="ArialMT" w:cstheme="minorHAnsi"/>
                <w:b/>
                <w:bCs/>
                <w:sz w:val="24"/>
                <w:szCs w:val="24"/>
              </w:rPr>
              <w:t>4: Protecting service users and service providers in health and social care settings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0BCCB56F" w14:textId="77777777" w:rsidR="000B6EE3" w:rsidRDefault="000B6EE3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</w:tcPr>
          <w:p w14:paraId="47590903" w14:textId="77777777" w:rsidR="000B6EE3" w:rsidRPr="006531E0" w:rsidRDefault="000B6EE3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</w:tcPr>
          <w:p w14:paraId="3DBB9FF1" w14:textId="77777777" w:rsidR="000B6EE3" w:rsidRPr="006531E0" w:rsidRDefault="000B6EE3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</w:tcPr>
          <w:p w14:paraId="61F3B0F2" w14:textId="77777777" w:rsidR="000B6EE3" w:rsidRPr="006531E0" w:rsidRDefault="000B6EE3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24A9E" w:rsidRPr="006531E0" w14:paraId="4B993D97" w14:textId="77777777" w:rsidTr="00924A9E">
        <w:tc>
          <w:tcPr>
            <w:tcW w:w="7083" w:type="dxa"/>
            <w:shd w:val="clear" w:color="auto" w:fill="FFFFFF" w:themeFill="background1"/>
          </w:tcPr>
          <w:p w14:paraId="05CC4B1A" w14:textId="7EE9C5F2" w:rsidR="00924A9E" w:rsidRPr="00924A9E" w:rsidRDefault="00924A9E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924A9E">
              <w:rPr>
                <w:rFonts w:eastAsia="ArialMT" w:cstheme="minorHAnsi"/>
                <w:sz w:val="24"/>
                <w:szCs w:val="24"/>
              </w:rPr>
              <w:t>4.1</w:t>
            </w:r>
            <w:r>
              <w:rPr>
                <w:rFonts w:eastAsia="ArialMT" w:cstheme="minorHAnsi"/>
                <w:sz w:val="24"/>
                <w:szCs w:val="24"/>
              </w:rPr>
              <w:t xml:space="preserve"> Safeguarding</w:t>
            </w:r>
          </w:p>
        </w:tc>
        <w:tc>
          <w:tcPr>
            <w:tcW w:w="2217" w:type="dxa"/>
            <w:shd w:val="clear" w:color="auto" w:fill="FFFFFF" w:themeFill="background1"/>
          </w:tcPr>
          <w:p w14:paraId="0969E018" w14:textId="182C1A64" w:rsidR="00924A9E" w:rsidRDefault="00924A9E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63 - 67</w:t>
            </w:r>
          </w:p>
        </w:tc>
        <w:tc>
          <w:tcPr>
            <w:tcW w:w="395" w:type="dxa"/>
            <w:shd w:val="clear" w:color="auto" w:fill="FFFFFF" w:themeFill="background1"/>
          </w:tcPr>
          <w:p w14:paraId="3DC69C4F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07676742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24F0F950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24A9E" w:rsidRPr="006531E0" w14:paraId="5C709E28" w14:textId="77777777" w:rsidTr="00924A9E">
        <w:tc>
          <w:tcPr>
            <w:tcW w:w="7083" w:type="dxa"/>
            <w:shd w:val="clear" w:color="auto" w:fill="FFFFFF" w:themeFill="background1"/>
          </w:tcPr>
          <w:p w14:paraId="67D4F2B6" w14:textId="6E5332BA" w:rsidR="00924A9E" w:rsidRPr="00924A9E" w:rsidRDefault="00924A9E" w:rsidP="00DA209E">
            <w:pPr>
              <w:rPr>
                <w:rFonts w:eastAsia="ArialMT" w:cstheme="minorHAnsi"/>
                <w:sz w:val="24"/>
                <w:szCs w:val="24"/>
              </w:rPr>
            </w:pPr>
            <w:r w:rsidRPr="00924A9E">
              <w:rPr>
                <w:rFonts w:eastAsia="ArialMT" w:cstheme="minorHAnsi"/>
                <w:sz w:val="24"/>
                <w:szCs w:val="24"/>
              </w:rPr>
              <w:t>4.2 Infection prevention</w:t>
            </w:r>
          </w:p>
        </w:tc>
        <w:tc>
          <w:tcPr>
            <w:tcW w:w="2217" w:type="dxa"/>
            <w:shd w:val="clear" w:color="auto" w:fill="FFFFFF" w:themeFill="background1"/>
          </w:tcPr>
          <w:p w14:paraId="6F701472" w14:textId="7F270A38" w:rsidR="00924A9E" w:rsidRDefault="00924A9E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 – 72</w:t>
            </w:r>
          </w:p>
        </w:tc>
        <w:tc>
          <w:tcPr>
            <w:tcW w:w="395" w:type="dxa"/>
            <w:shd w:val="clear" w:color="auto" w:fill="FFFFFF" w:themeFill="background1"/>
          </w:tcPr>
          <w:p w14:paraId="39CD3B92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11732815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09D57184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24A9E" w:rsidRPr="006531E0" w14:paraId="10D27356" w14:textId="77777777" w:rsidTr="00924A9E">
        <w:tc>
          <w:tcPr>
            <w:tcW w:w="7083" w:type="dxa"/>
            <w:shd w:val="clear" w:color="auto" w:fill="FFFFFF" w:themeFill="background1"/>
          </w:tcPr>
          <w:p w14:paraId="185167C8" w14:textId="30E42044" w:rsidR="00924A9E" w:rsidRPr="00924A9E" w:rsidRDefault="00924A9E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4.3 Safety procedures and measures</w:t>
            </w:r>
          </w:p>
        </w:tc>
        <w:tc>
          <w:tcPr>
            <w:tcW w:w="2217" w:type="dxa"/>
            <w:shd w:val="clear" w:color="auto" w:fill="FFFFFF" w:themeFill="background1"/>
          </w:tcPr>
          <w:p w14:paraId="06073422" w14:textId="09DF4905" w:rsidR="00924A9E" w:rsidRDefault="00924A9E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73 -75</w:t>
            </w:r>
          </w:p>
        </w:tc>
        <w:tc>
          <w:tcPr>
            <w:tcW w:w="395" w:type="dxa"/>
            <w:shd w:val="clear" w:color="auto" w:fill="FFFFFF" w:themeFill="background1"/>
          </w:tcPr>
          <w:p w14:paraId="5D67B2F9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6E49E441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23C67DBD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24A9E" w:rsidRPr="006531E0" w14:paraId="065CFBFA" w14:textId="77777777" w:rsidTr="00924A9E">
        <w:tc>
          <w:tcPr>
            <w:tcW w:w="7083" w:type="dxa"/>
            <w:shd w:val="clear" w:color="auto" w:fill="FFFFFF" w:themeFill="background1"/>
          </w:tcPr>
          <w:p w14:paraId="5BB1AB84" w14:textId="6BCB7352" w:rsidR="00924A9E" w:rsidRPr="00924A9E" w:rsidRDefault="00924A9E" w:rsidP="00DA209E">
            <w:pPr>
              <w:rPr>
                <w:rFonts w:eastAsia="ArialMT" w:cstheme="minorHAnsi"/>
                <w:sz w:val="24"/>
                <w:szCs w:val="24"/>
              </w:rPr>
            </w:pPr>
            <w:r>
              <w:rPr>
                <w:rFonts w:eastAsia="ArialMT" w:cstheme="minorHAnsi"/>
                <w:sz w:val="24"/>
                <w:szCs w:val="24"/>
              </w:rPr>
              <w:t>4.4 How security measures protect care service users and staff</w:t>
            </w:r>
          </w:p>
        </w:tc>
        <w:tc>
          <w:tcPr>
            <w:tcW w:w="2217" w:type="dxa"/>
            <w:shd w:val="clear" w:color="auto" w:fill="FFFFFF" w:themeFill="background1"/>
          </w:tcPr>
          <w:p w14:paraId="4A0DC357" w14:textId="71449D65" w:rsidR="00924A9E" w:rsidRDefault="00924A9E" w:rsidP="00DA20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76 - 78</w:t>
            </w:r>
          </w:p>
        </w:tc>
        <w:tc>
          <w:tcPr>
            <w:tcW w:w="395" w:type="dxa"/>
            <w:shd w:val="clear" w:color="auto" w:fill="FFFFFF" w:themeFill="background1"/>
          </w:tcPr>
          <w:p w14:paraId="0D0BB906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15C5DB8C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62843E75" w14:textId="77777777" w:rsidR="00924A9E" w:rsidRPr="006531E0" w:rsidRDefault="00924A9E" w:rsidP="00DA209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E3DD011" w14:textId="21454BA1" w:rsidR="00DA209E" w:rsidRPr="00DA209E" w:rsidRDefault="00DA209E" w:rsidP="00DA209E">
      <w:pPr>
        <w:jc w:val="both"/>
        <w:rPr>
          <w:b/>
          <w:bCs/>
          <w:sz w:val="28"/>
          <w:szCs w:val="28"/>
        </w:rPr>
      </w:pPr>
      <w:r w:rsidRPr="00DA209E">
        <w:rPr>
          <w:b/>
          <w:bCs/>
          <w:sz w:val="28"/>
          <w:szCs w:val="28"/>
        </w:rPr>
        <w:t>Topics to be revised:</w:t>
      </w:r>
    </w:p>
    <w:p w14:paraId="2E28F7CC" w14:textId="488AF75E" w:rsidR="000B6EE3" w:rsidRDefault="000B6EE3" w:rsidP="00DA209E">
      <w:pPr>
        <w:rPr>
          <w:b/>
          <w:bCs/>
          <w:sz w:val="32"/>
          <w:szCs w:val="32"/>
        </w:rPr>
      </w:pPr>
    </w:p>
    <w:p w14:paraId="6F7373F1" w14:textId="6E7CC92B" w:rsidR="00DA209E" w:rsidRDefault="00DA209E" w:rsidP="00DA209E">
      <w:pPr>
        <w:rPr>
          <w:b/>
          <w:bCs/>
          <w:sz w:val="32"/>
          <w:szCs w:val="32"/>
        </w:rPr>
      </w:pPr>
      <w:r w:rsidRPr="00595F7C">
        <w:rPr>
          <w:b/>
          <w:bCs/>
          <w:sz w:val="32"/>
          <w:szCs w:val="32"/>
        </w:rPr>
        <w:t>Useful resources/ websites</w:t>
      </w:r>
      <w:r>
        <w:rPr>
          <w:b/>
          <w:bCs/>
          <w:sz w:val="32"/>
          <w:szCs w:val="32"/>
        </w:rPr>
        <w:t>:</w:t>
      </w:r>
    </w:p>
    <w:p w14:paraId="7B771CB9" w14:textId="3BF8CCAB" w:rsidR="00DA209E" w:rsidRPr="00772416" w:rsidRDefault="00DA209E" w:rsidP="00772416">
      <w:pPr>
        <w:rPr>
          <w:sz w:val="24"/>
          <w:szCs w:val="24"/>
        </w:rPr>
      </w:pPr>
      <w:r w:rsidRPr="00772416">
        <w:rPr>
          <w:sz w:val="24"/>
          <w:szCs w:val="24"/>
        </w:rPr>
        <w:t>Health and Social Care Revision Guide and Workbook</w:t>
      </w:r>
    </w:p>
    <w:p w14:paraId="00DBB97A" w14:textId="77777777" w:rsidR="00C40DFF" w:rsidRDefault="00C40DFF"/>
    <w:p w14:paraId="240C98EF" w14:textId="77777777" w:rsidR="00C40DFF" w:rsidRDefault="00C40DFF"/>
    <w:sectPr w:rsidR="00C40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F1B"/>
    <w:multiLevelType w:val="hybridMultilevel"/>
    <w:tmpl w:val="E0A01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39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FF"/>
    <w:rsid w:val="000B6EE3"/>
    <w:rsid w:val="00300465"/>
    <w:rsid w:val="00772416"/>
    <w:rsid w:val="008B04B6"/>
    <w:rsid w:val="00924A9E"/>
    <w:rsid w:val="00C40DFF"/>
    <w:rsid w:val="00DA209E"/>
    <w:rsid w:val="00D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ED8C"/>
  <w15:chartTrackingRefBased/>
  <w15:docId w15:val="{728AE863-EA85-4D88-9B8B-E266E46A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F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D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Brown</dc:creator>
  <cp:keywords/>
  <dc:description/>
  <cp:lastModifiedBy>G Brown</cp:lastModifiedBy>
  <cp:revision>2</cp:revision>
  <dcterms:created xsi:type="dcterms:W3CDTF">2024-10-03T15:54:00Z</dcterms:created>
  <dcterms:modified xsi:type="dcterms:W3CDTF">2024-10-03T15:54:00Z</dcterms:modified>
</cp:coreProperties>
</file>